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8529" w14:textId="382E813A" w:rsidR="00A97CC8" w:rsidRDefault="00A97CC8" w:rsidP="00A97CC8">
      <w:pPr>
        <w:pStyle w:val="Title"/>
        <w:ind w:left="0"/>
        <w:jc w:val="center"/>
        <w:rPr>
          <w:spacing w:val="-4"/>
        </w:rPr>
      </w:pPr>
      <w:r>
        <w:t>Junior</w:t>
      </w:r>
      <w:r>
        <w:rPr>
          <w:spacing w:val="-8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rPr>
          <w:spacing w:val="-4"/>
        </w:rPr>
        <w:t>202</w:t>
      </w:r>
      <w:r>
        <w:rPr>
          <w:spacing w:val="-4"/>
        </w:rPr>
        <w:t>3</w:t>
      </w:r>
    </w:p>
    <w:p w14:paraId="6B206369" w14:textId="77777777" w:rsidR="00A97CC8" w:rsidRDefault="00A97CC8" w:rsidP="00A97CC8">
      <w:pPr>
        <w:pStyle w:val="Title"/>
        <w:ind w:left="0"/>
        <w:jc w:val="center"/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440"/>
        <w:gridCol w:w="5880"/>
      </w:tblGrid>
      <w:tr w:rsidR="00A97CC8" w14:paraId="548CF57F" w14:textId="77777777" w:rsidTr="00A97CC8">
        <w:trPr>
          <w:trHeight w:val="689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B2A7E" w14:textId="77777777" w:rsidR="00A97CC8" w:rsidRDefault="00A97CC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FA113E" w14:textId="77777777" w:rsidR="00A97CC8" w:rsidRDefault="00A97CC8">
            <w:pPr>
              <w:pStyle w:val="TableParagraph"/>
              <w:rPr>
                <w:b/>
              </w:rPr>
            </w:pPr>
            <w:r>
              <w:rPr>
                <w:b/>
              </w:rPr>
              <w:t>Oldest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Child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745FD2" w14:textId="77777777" w:rsidR="00A97CC8" w:rsidRDefault="00A97CC8">
            <w:pPr>
              <w:pStyle w:val="TableParagraph"/>
              <w:ind w:left="327" w:right="310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Children</w:t>
            </w:r>
          </w:p>
        </w:tc>
      </w:tr>
      <w:tr w:rsidR="00A97CC8" w14:paraId="4D1A050B" w14:textId="77777777" w:rsidTr="00A97CC8">
        <w:trPr>
          <w:trHeight w:val="669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B2ECCB" w14:textId="08F7EF24" w:rsidR="00A97CC8" w:rsidRDefault="00A97CC8">
            <w:pPr>
              <w:pStyle w:val="TableParagraph"/>
              <w:ind w:left="168" w:right="136"/>
            </w:pPr>
            <w:r>
              <w:t>Auskick</w:t>
            </w:r>
            <w:r>
              <w:rPr>
                <w:spacing w:val="-4"/>
              </w:rPr>
              <w:t xml:space="preserve"> </w:t>
            </w:r>
            <w:r>
              <w:t>Rookies</w:t>
            </w:r>
            <w:r>
              <w:t xml:space="preserve"> - turn 5 or 6 in 2023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32F18C" w14:textId="39DFFFAD" w:rsidR="00A97CC8" w:rsidRDefault="00A97CC8">
            <w:pPr>
              <w:pStyle w:val="TableParagraph"/>
            </w:pPr>
            <w:r>
              <w:rPr>
                <w:spacing w:val="-4"/>
              </w:rPr>
              <w:t>$10</w:t>
            </w:r>
            <w:r>
              <w:rPr>
                <w:spacing w:val="-4"/>
              </w:rPr>
              <w:t>5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6984D7" w14:textId="31F36FAA" w:rsidR="00A97CC8" w:rsidRDefault="00A97CC8">
            <w:pPr>
              <w:pStyle w:val="TableParagraph"/>
              <w:ind w:left="327" w:right="310"/>
            </w:pPr>
            <w:r>
              <w:t>N/A</w:t>
            </w:r>
          </w:p>
        </w:tc>
      </w:tr>
      <w:tr w:rsidR="00A97CC8" w14:paraId="22B04EB7" w14:textId="77777777" w:rsidTr="00A97CC8">
        <w:trPr>
          <w:trHeight w:val="650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A406822" w14:textId="77777777" w:rsidR="00A97CC8" w:rsidRDefault="00A97CC8">
            <w:pPr>
              <w:pStyle w:val="TableParagraph"/>
              <w:spacing w:before="80"/>
              <w:ind w:left="168" w:right="136"/>
            </w:pPr>
            <w:r>
              <w:t>Auskick</w:t>
            </w:r>
            <w:r>
              <w:rPr>
                <w:spacing w:val="-2"/>
              </w:rPr>
              <w:t xml:space="preserve"> </w:t>
            </w:r>
            <w:r>
              <w:t>Pro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E7EB32" w14:textId="4A347B9C" w:rsidR="00A97CC8" w:rsidRDefault="00A97CC8">
            <w:pPr>
              <w:pStyle w:val="TableParagraph"/>
              <w:spacing w:before="80"/>
            </w:pPr>
            <w:r>
              <w:rPr>
                <w:spacing w:val="-4"/>
              </w:rPr>
              <w:t>$1</w:t>
            </w:r>
            <w:r>
              <w:rPr>
                <w:spacing w:val="-4"/>
              </w:rPr>
              <w:t>6</w:t>
            </w:r>
            <w:r>
              <w:rPr>
                <w:spacing w:val="-4"/>
              </w:rPr>
              <w:t>0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336A6F8" w14:textId="58AAEE41" w:rsidR="00A97CC8" w:rsidRDefault="00A97CC8">
            <w:pPr>
              <w:pStyle w:val="TableParagraph"/>
              <w:spacing w:before="80"/>
              <w:ind w:left="327" w:right="310"/>
            </w:pPr>
            <w:r>
              <w:t>N/A</w:t>
            </w:r>
          </w:p>
        </w:tc>
      </w:tr>
      <w:tr w:rsidR="00A97CC8" w14:paraId="639A2EF3" w14:textId="77777777" w:rsidTr="00A97CC8">
        <w:trPr>
          <w:trHeight w:val="589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0C8750E" w14:textId="10E3A227" w:rsidR="00A97CC8" w:rsidRDefault="00A97CC8">
            <w:pPr>
              <w:pStyle w:val="TableParagraph"/>
              <w:ind w:left="168" w:right="136"/>
            </w:pPr>
            <w:r>
              <w:t xml:space="preserve">Non-Competitive - </w:t>
            </w:r>
            <w:r>
              <w:t>Under</w:t>
            </w:r>
            <w:r>
              <w:rPr>
                <w:spacing w:val="-1"/>
              </w:rPr>
              <w:t xml:space="preserve"> 9s + Under 10s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3F8B3B" w14:textId="1EEED801" w:rsidR="00A97CC8" w:rsidRDefault="00A97CC8">
            <w:pPr>
              <w:pStyle w:val="TableParagraph"/>
            </w:pPr>
            <w:r>
              <w:rPr>
                <w:spacing w:val="-4"/>
              </w:rPr>
              <w:t>$1</w:t>
            </w:r>
            <w:r>
              <w:rPr>
                <w:spacing w:val="-4"/>
              </w:rPr>
              <w:t>6</w:t>
            </w:r>
            <w:r>
              <w:rPr>
                <w:spacing w:val="-4"/>
              </w:rPr>
              <w:t>0</w:t>
            </w:r>
          </w:p>
        </w:tc>
        <w:tc>
          <w:tcPr>
            <w:tcW w:w="58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CD148C" w14:textId="25B334E3" w:rsidR="00A97CC8" w:rsidRDefault="00A97CC8">
            <w:pPr>
              <w:pStyle w:val="TableParagraph"/>
              <w:ind w:left="165" w:right="0"/>
              <w:jc w:val="left"/>
            </w:pPr>
            <w:r>
              <w:t>10%</w:t>
            </w:r>
            <w:r>
              <w:rPr>
                <w:spacing w:val="-2"/>
              </w:rPr>
              <w:t xml:space="preserve"> </w:t>
            </w:r>
            <w:r>
              <w:t>Discount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9s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Older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Registrations</w:t>
            </w:r>
          </w:p>
        </w:tc>
      </w:tr>
      <w:tr w:rsidR="00A97CC8" w14:paraId="1DD2AEB3" w14:textId="77777777" w:rsidTr="00A97CC8">
        <w:trPr>
          <w:trHeight w:val="649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75E5EE" w14:textId="3348DC5D" w:rsidR="00A97CC8" w:rsidRDefault="00A97CC8">
            <w:pPr>
              <w:pStyle w:val="TableParagraph"/>
              <w:spacing w:before="80"/>
              <w:ind w:left="168" w:right="136"/>
            </w:pPr>
            <w:r>
              <w:t xml:space="preserve">Competitive - </w:t>
            </w:r>
            <w:r>
              <w:t>Under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t>1</w:t>
            </w:r>
            <w:r>
              <w:t>s</w:t>
            </w:r>
            <w:r>
              <w:t xml:space="preserve"> and older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E02CF99" w14:textId="3E5B41EF" w:rsidR="00A97CC8" w:rsidRDefault="00A97CC8">
            <w:pPr>
              <w:pStyle w:val="TableParagraph"/>
              <w:spacing w:before="80"/>
            </w:pPr>
            <w:r>
              <w:rPr>
                <w:spacing w:val="-4"/>
              </w:rPr>
              <w:t>$</w:t>
            </w:r>
            <w:r>
              <w:rPr>
                <w:spacing w:val="-4"/>
              </w:rPr>
              <w:t>2</w:t>
            </w:r>
            <w:r>
              <w:rPr>
                <w:spacing w:val="-4"/>
              </w:rPr>
              <w:t>0</w:t>
            </w:r>
            <w:r>
              <w:rPr>
                <w:spacing w:val="-4"/>
              </w:rPr>
              <w:t>0</w:t>
            </w:r>
          </w:p>
        </w:tc>
        <w:tc>
          <w:tcPr>
            <w:tcW w:w="58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E30F67" w14:textId="77777777" w:rsidR="00A97CC8" w:rsidRDefault="00A97CC8"/>
        </w:tc>
      </w:tr>
    </w:tbl>
    <w:p w14:paraId="3684B90F" w14:textId="77777777" w:rsidR="00A97CC8" w:rsidRDefault="00A97CC8" w:rsidP="00A97CC8">
      <w:pPr>
        <w:pStyle w:val="BodyText"/>
        <w:spacing w:before="10"/>
        <w:rPr>
          <w:b/>
          <w:sz w:val="47"/>
        </w:rPr>
      </w:pPr>
    </w:p>
    <w:p w14:paraId="1CBC387D" w14:textId="172A254E" w:rsidR="00A97CC8" w:rsidRPr="00A97CC8" w:rsidRDefault="00A97CC8" w:rsidP="00A97CC8">
      <w:pPr>
        <w:pStyle w:val="ListParagraph"/>
        <w:numPr>
          <w:ilvl w:val="0"/>
          <w:numId w:val="1"/>
        </w:numPr>
        <w:tabs>
          <w:tab w:val="left" w:pos="644"/>
        </w:tabs>
      </w:pPr>
      <w:r>
        <w:t>All</w:t>
      </w:r>
      <w:r>
        <w:rPr>
          <w:spacing w:val="-3"/>
        </w:rPr>
        <w:t xml:space="preserve"> </w:t>
      </w:r>
      <w:r>
        <w:t>Ainslie</w:t>
      </w:r>
      <w:r>
        <w:rPr>
          <w:spacing w:val="-2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registrations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pair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footy</w:t>
      </w:r>
      <w:r>
        <w:rPr>
          <w:spacing w:val="-3"/>
        </w:rPr>
        <w:t xml:space="preserve"> </w:t>
      </w:r>
      <w:r>
        <w:t>socks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Ainslie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rPr>
          <w:spacing w:val="-4"/>
        </w:rPr>
        <w:t>top!</w:t>
      </w:r>
    </w:p>
    <w:p w14:paraId="46E5EC0A" w14:textId="4DCD4B84" w:rsidR="00A97CC8" w:rsidRDefault="00A97CC8" w:rsidP="00A97CC8">
      <w:pPr>
        <w:pStyle w:val="ListParagraph"/>
        <w:numPr>
          <w:ilvl w:val="0"/>
          <w:numId w:val="1"/>
        </w:numPr>
        <w:tabs>
          <w:tab w:val="left" w:pos="644"/>
        </w:tabs>
      </w:pPr>
      <w:r>
        <w:rPr>
          <w:spacing w:val="-4"/>
        </w:rPr>
        <w:t xml:space="preserve">If you have any questions about registration or may find it </w:t>
      </w:r>
      <w:r w:rsidR="00663C5C">
        <w:rPr>
          <w:spacing w:val="-4"/>
        </w:rPr>
        <w:t>challenging</w:t>
      </w:r>
      <w:r>
        <w:rPr>
          <w:spacing w:val="-4"/>
        </w:rPr>
        <w:t xml:space="preserve"> to pay for one or multiple registratio</w:t>
      </w:r>
      <w:r w:rsidR="00663C5C">
        <w:rPr>
          <w:spacing w:val="-4"/>
        </w:rPr>
        <w:t>n</w:t>
      </w:r>
      <w:r>
        <w:rPr>
          <w:spacing w:val="-4"/>
        </w:rPr>
        <w:t xml:space="preserve">s at once, please </w:t>
      </w:r>
      <w:r w:rsidR="00663C5C">
        <w:rPr>
          <w:spacing w:val="-4"/>
        </w:rPr>
        <w:t>get in touch with</w:t>
      </w:r>
      <w:r>
        <w:rPr>
          <w:spacing w:val="-4"/>
        </w:rPr>
        <w:t xml:space="preserve"> </w:t>
      </w:r>
      <w:r w:rsidR="00663C5C">
        <w:rPr>
          <w:spacing w:val="-4"/>
        </w:rPr>
        <w:t xml:space="preserve">Ainslie’s Manager of Junior Football Operations, Matthew Teasdale, at </w:t>
      </w:r>
      <w:hyperlink r:id="rId5" w:history="1">
        <w:r w:rsidR="00663C5C" w:rsidRPr="005835B5">
          <w:rPr>
            <w:rStyle w:val="Hyperlink"/>
            <w:spacing w:val="-4"/>
          </w:rPr>
          <w:t>matthew.teasdale@ainsliefootball.com.au</w:t>
        </w:r>
      </w:hyperlink>
      <w:r w:rsidR="00663C5C">
        <w:rPr>
          <w:spacing w:val="-4"/>
        </w:rPr>
        <w:t xml:space="preserve">. </w:t>
      </w:r>
      <w:r>
        <w:rPr>
          <w:spacing w:val="-4"/>
        </w:rPr>
        <w:t xml:space="preserve"> </w:t>
      </w:r>
    </w:p>
    <w:p w14:paraId="7BCFC42F" w14:textId="77777777" w:rsidR="00A97CC8" w:rsidRDefault="00A97CC8" w:rsidP="00A97CC8">
      <w:pPr>
        <w:pStyle w:val="BodyText"/>
      </w:pPr>
    </w:p>
    <w:p w14:paraId="6CA648CA" w14:textId="77777777" w:rsidR="00A97CC8" w:rsidRDefault="00A97CC8" w:rsidP="00A97CC8">
      <w:pPr>
        <w:pStyle w:val="BodyText"/>
      </w:pPr>
    </w:p>
    <w:p w14:paraId="42436831" w14:textId="77777777" w:rsidR="00A97CC8" w:rsidRDefault="00A97CC8" w:rsidP="00A97CC8">
      <w:pPr>
        <w:pStyle w:val="BodyText"/>
        <w:spacing w:before="5"/>
        <w:rPr>
          <w:sz w:val="18"/>
        </w:rPr>
      </w:pPr>
    </w:p>
    <w:p w14:paraId="2F00EE8D" w14:textId="77777777" w:rsidR="00A97CC8" w:rsidRDefault="00A97CC8" w:rsidP="00A97CC8">
      <w:pPr>
        <w:ind w:left="181"/>
        <w:rPr>
          <w:b/>
          <w:sz w:val="28"/>
        </w:rPr>
      </w:pPr>
      <w:r>
        <w:rPr>
          <w:b/>
          <w:sz w:val="28"/>
        </w:rPr>
        <w:t>Late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Registration</w:t>
      </w:r>
    </w:p>
    <w:p w14:paraId="51CC6D64" w14:textId="77777777" w:rsidR="00A97CC8" w:rsidRDefault="00A97CC8" w:rsidP="00A97CC8">
      <w:pPr>
        <w:pStyle w:val="BodyText"/>
        <w:spacing w:before="11"/>
        <w:rPr>
          <w:b/>
          <w:sz w:val="20"/>
        </w:rPr>
      </w:pPr>
    </w:p>
    <w:p w14:paraId="2A8D6AD3" w14:textId="398ED142" w:rsidR="00A97CC8" w:rsidRDefault="00A97CC8" w:rsidP="00A97CC8">
      <w:pPr>
        <w:pStyle w:val="ListParagraph"/>
        <w:numPr>
          <w:ilvl w:val="0"/>
          <w:numId w:val="1"/>
        </w:numPr>
        <w:tabs>
          <w:tab w:val="left" w:pos="644"/>
        </w:tabs>
        <w:spacing w:before="1"/>
      </w:pPr>
      <w:r>
        <w:t>Full</w:t>
      </w:r>
      <w:r>
        <w:rPr>
          <w:spacing w:val="-4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easons</w:t>
      </w:r>
    </w:p>
    <w:p w14:paraId="0E47DDCC" w14:textId="6ABDF5E6" w:rsidR="00A97CC8" w:rsidRDefault="00A97CC8" w:rsidP="00A97CC8">
      <w:pPr>
        <w:pStyle w:val="ListParagraph"/>
        <w:numPr>
          <w:ilvl w:val="0"/>
          <w:numId w:val="1"/>
        </w:numPr>
        <w:tabs>
          <w:tab w:val="left" w:pos="644"/>
        </w:tabs>
        <w:spacing w:before="48"/>
      </w:pPr>
      <w:r>
        <w:t>$25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registrations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Round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br/>
        <w:t xml:space="preserve">(Please note: registering </w:t>
      </w:r>
      <w:r w:rsidR="00663C5C">
        <w:t>after round 10</w:t>
      </w:r>
      <w:r>
        <w:t xml:space="preserve"> make</w:t>
      </w:r>
      <w:r w:rsidR="00663C5C">
        <w:t>s</w:t>
      </w:r>
      <w:r>
        <w:t xml:space="preserve"> it </w:t>
      </w:r>
      <w:r w:rsidR="00663C5C">
        <w:t>challenging</w:t>
      </w:r>
      <w:r>
        <w:t xml:space="preserve"> to </w:t>
      </w:r>
      <w:r w:rsidR="00663C5C">
        <w:t xml:space="preserve">play the minimum four games required to </w:t>
      </w:r>
      <w:r>
        <w:t>qualify for finals)</w:t>
      </w:r>
    </w:p>
    <w:p w14:paraId="1A535687" w14:textId="34896D12" w:rsidR="00A97CC8" w:rsidRDefault="00A97CC8" w:rsidP="00A97CC8">
      <w:pPr>
        <w:pStyle w:val="ListParagraph"/>
        <w:tabs>
          <w:tab w:val="left" w:pos="644"/>
        </w:tabs>
        <w:spacing w:before="48"/>
        <w:ind w:firstLine="0"/>
      </w:pPr>
    </w:p>
    <w:p w14:paraId="4F4687DE" w14:textId="5CC3BBE6" w:rsidR="00DD5CE3" w:rsidRDefault="00DD5CE3"/>
    <w:sectPr w:rsidR="00DD5CE3" w:rsidSect="00A97C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2C06"/>
    <w:multiLevelType w:val="hybridMultilevel"/>
    <w:tmpl w:val="2C04F7A4"/>
    <w:lvl w:ilvl="0" w:tplc="F858DB9A">
      <w:numFmt w:val="bullet"/>
      <w:lvlText w:val="-"/>
      <w:lvlJc w:val="left"/>
      <w:pPr>
        <w:ind w:left="643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1E1378">
      <w:numFmt w:val="bullet"/>
      <w:lvlText w:val="•"/>
      <w:lvlJc w:val="left"/>
      <w:pPr>
        <w:ind w:left="1890" w:hanging="118"/>
      </w:pPr>
      <w:rPr>
        <w:lang w:val="en-US" w:eastAsia="en-US" w:bidi="ar-SA"/>
      </w:rPr>
    </w:lvl>
    <w:lvl w:ilvl="2" w:tplc="2806D29E">
      <w:numFmt w:val="bullet"/>
      <w:lvlText w:val="•"/>
      <w:lvlJc w:val="left"/>
      <w:pPr>
        <w:ind w:left="3140" w:hanging="118"/>
      </w:pPr>
      <w:rPr>
        <w:lang w:val="en-US" w:eastAsia="en-US" w:bidi="ar-SA"/>
      </w:rPr>
    </w:lvl>
    <w:lvl w:ilvl="3" w:tplc="90AA39B0">
      <w:numFmt w:val="bullet"/>
      <w:lvlText w:val="•"/>
      <w:lvlJc w:val="left"/>
      <w:pPr>
        <w:ind w:left="4390" w:hanging="118"/>
      </w:pPr>
      <w:rPr>
        <w:lang w:val="en-US" w:eastAsia="en-US" w:bidi="ar-SA"/>
      </w:rPr>
    </w:lvl>
    <w:lvl w:ilvl="4" w:tplc="A19A081E">
      <w:numFmt w:val="bullet"/>
      <w:lvlText w:val="•"/>
      <w:lvlJc w:val="left"/>
      <w:pPr>
        <w:ind w:left="5640" w:hanging="118"/>
      </w:pPr>
      <w:rPr>
        <w:lang w:val="en-US" w:eastAsia="en-US" w:bidi="ar-SA"/>
      </w:rPr>
    </w:lvl>
    <w:lvl w:ilvl="5" w:tplc="D638B926">
      <w:numFmt w:val="bullet"/>
      <w:lvlText w:val="•"/>
      <w:lvlJc w:val="left"/>
      <w:pPr>
        <w:ind w:left="6890" w:hanging="118"/>
      </w:pPr>
      <w:rPr>
        <w:lang w:val="en-US" w:eastAsia="en-US" w:bidi="ar-SA"/>
      </w:rPr>
    </w:lvl>
    <w:lvl w:ilvl="6" w:tplc="99640FC0">
      <w:numFmt w:val="bullet"/>
      <w:lvlText w:val="•"/>
      <w:lvlJc w:val="left"/>
      <w:pPr>
        <w:ind w:left="8140" w:hanging="118"/>
      </w:pPr>
      <w:rPr>
        <w:lang w:val="en-US" w:eastAsia="en-US" w:bidi="ar-SA"/>
      </w:rPr>
    </w:lvl>
    <w:lvl w:ilvl="7" w:tplc="B9C41816">
      <w:numFmt w:val="bullet"/>
      <w:lvlText w:val="•"/>
      <w:lvlJc w:val="left"/>
      <w:pPr>
        <w:ind w:left="9390" w:hanging="118"/>
      </w:pPr>
      <w:rPr>
        <w:lang w:val="en-US" w:eastAsia="en-US" w:bidi="ar-SA"/>
      </w:rPr>
    </w:lvl>
    <w:lvl w:ilvl="8" w:tplc="8A2E9718">
      <w:numFmt w:val="bullet"/>
      <w:lvlText w:val="•"/>
      <w:lvlJc w:val="left"/>
      <w:pPr>
        <w:ind w:left="10640" w:hanging="118"/>
      </w:pPr>
      <w:rPr>
        <w:lang w:val="en-US" w:eastAsia="en-US" w:bidi="ar-SA"/>
      </w:rPr>
    </w:lvl>
  </w:abstractNum>
  <w:num w:numId="1" w16cid:durableId="10550092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GEoYmlqYGppZmxko6SsGpxcWZ+XkgBYa1AKoPAQssAAAA"/>
  </w:docVars>
  <w:rsids>
    <w:rsidRoot w:val="00A97CC8"/>
    <w:rsid w:val="00663C5C"/>
    <w:rsid w:val="00784F63"/>
    <w:rsid w:val="009D668E"/>
    <w:rsid w:val="00A8387D"/>
    <w:rsid w:val="00A97CC8"/>
    <w:rsid w:val="00DD5CE3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819A"/>
  <w15:chartTrackingRefBased/>
  <w15:docId w15:val="{08AD0A4B-6809-4B87-B73B-CD010FA6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97CC8"/>
    <w:pPr>
      <w:spacing w:before="66"/>
      <w:ind w:left="4687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97CC8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97CC8"/>
  </w:style>
  <w:style w:type="character" w:customStyle="1" w:styleId="BodyTextChar">
    <w:name w:val="Body Text Char"/>
    <w:basedOn w:val="DefaultParagraphFont"/>
    <w:link w:val="BodyText"/>
    <w:uiPriority w:val="1"/>
    <w:semiHidden/>
    <w:rsid w:val="00A97CC8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A97CC8"/>
    <w:pPr>
      <w:ind w:left="643" w:hanging="118"/>
    </w:pPr>
  </w:style>
  <w:style w:type="paragraph" w:customStyle="1" w:styleId="TableParagraph">
    <w:name w:val="Table Paragraph"/>
    <w:basedOn w:val="Normal"/>
    <w:uiPriority w:val="1"/>
    <w:qFormat/>
    <w:rsid w:val="00A97CC8"/>
    <w:pPr>
      <w:spacing w:before="90"/>
      <w:ind w:left="155" w:right="123"/>
      <w:jc w:val="center"/>
    </w:pPr>
  </w:style>
  <w:style w:type="character" w:styleId="Hyperlink">
    <w:name w:val="Hyperlink"/>
    <w:basedOn w:val="DefaultParagraphFont"/>
    <w:uiPriority w:val="99"/>
    <w:unhideWhenUsed/>
    <w:rsid w:val="00663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.teasdale@ainsliefootbal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Matthew.Teasdale</dc:creator>
  <cp:keywords/>
  <dc:description/>
  <cp:lastModifiedBy>Matthew.Teasdale</cp:lastModifiedBy>
  <cp:revision>1</cp:revision>
  <dcterms:created xsi:type="dcterms:W3CDTF">2022-11-07T22:07:00Z</dcterms:created>
  <dcterms:modified xsi:type="dcterms:W3CDTF">2022-11-07T22:20:00Z</dcterms:modified>
</cp:coreProperties>
</file>